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700DE"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 xml:space="preserve">Justin P. Ransome is a partner in Ernst &amp; Young’s National Tax Department where he serves as the National Tax Partner of Ernst &amp; Young’s Private Client Services practice.  Mr. Ransome has almost 30 </w:t>
      </w:r>
      <w:proofErr w:type="spellStart"/>
      <w:r>
        <w:rPr>
          <w:rFonts w:ascii="EYInterstate" w:eastAsiaTheme="minorEastAsia" w:hAnsi="EYInterstate" w:cs="Arial"/>
          <w:color w:val="000000" w:themeColor="text1"/>
          <w:kern w:val="24"/>
          <w:sz w:val="20"/>
          <w:szCs w:val="20"/>
        </w:rPr>
        <w:t>years experience</w:t>
      </w:r>
      <w:proofErr w:type="spellEnd"/>
      <w:r>
        <w:rPr>
          <w:rFonts w:ascii="EYInterstate" w:eastAsiaTheme="minorEastAsia" w:hAnsi="EYInterstate" w:cs="Arial"/>
          <w:color w:val="000000" w:themeColor="text1"/>
          <w:kern w:val="24"/>
          <w:sz w:val="20"/>
          <w:szCs w:val="20"/>
        </w:rPr>
        <w:t xml:space="preserve"> specializing in transfer tax, individual income tax, fiduciary income tax, charitable giving, cross border planning and family business succession planning.  Prior to joining Ernst &amp; Young, Mr. Ransome served in the Washington National Tax Office of Grant Thornton as the National Tax Partner of its Private Wealth Service practice.  Prior to joining Grant Thornton, Mr. Ransome worked in the Private Client Advisory Services Group of KPMG’s Washington National Tax Practice and, prior to that, he practiced law with the law firm of D’Amico and Curet, A Professional Law Corporation, in Baton Rouge, Louisiana, where his practice centered on business succession planning, estate planning and probate administration.  </w:t>
      </w:r>
    </w:p>
    <w:p w14:paraId="12491905"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 </w:t>
      </w:r>
    </w:p>
    <w:p w14:paraId="19519C87"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 xml:space="preserve">Mr. Ransome currently serves on the Tax Executive Committee of the American Institute of Certified Public Accountants (AICPA) and is a past chair (2007 – 2009) of the </w:t>
      </w:r>
      <w:proofErr w:type="gramStart"/>
      <w:r>
        <w:rPr>
          <w:rFonts w:ascii="EYInterstate" w:eastAsiaTheme="minorEastAsia" w:hAnsi="EYInterstate" w:cs="Arial"/>
          <w:color w:val="000000" w:themeColor="text1"/>
          <w:kern w:val="24"/>
          <w:sz w:val="20"/>
          <w:szCs w:val="20"/>
        </w:rPr>
        <w:t>AICPA‘</w:t>
      </w:r>
      <w:proofErr w:type="gramEnd"/>
      <w:r>
        <w:rPr>
          <w:rFonts w:ascii="EYInterstate" w:eastAsiaTheme="minorEastAsia" w:hAnsi="EYInterstate" w:cs="Arial"/>
          <w:color w:val="000000" w:themeColor="text1"/>
          <w:kern w:val="24"/>
          <w:sz w:val="20"/>
          <w:szCs w:val="20"/>
        </w:rPr>
        <w:t xml:space="preserve">s Trust, Estate and Gift Tax Technical Resource Panel.  He also currently serves on many task forces within the Tax Section of the AICPA.  He is the 2006-2007 recipient of the Tax Section Distinguished Service Award given by the Tax Section of the AICPA for contributions above and beyond the call of duty in providing volunteer efforts, time and know-how to AICPA membership, </w:t>
      </w:r>
      <w:proofErr w:type="gramStart"/>
      <w:r>
        <w:rPr>
          <w:rFonts w:ascii="EYInterstate" w:eastAsiaTheme="minorEastAsia" w:hAnsi="EYInterstate" w:cs="Arial"/>
          <w:color w:val="000000" w:themeColor="text1"/>
          <w:kern w:val="24"/>
          <w:sz w:val="20"/>
          <w:szCs w:val="20"/>
        </w:rPr>
        <w:t>ethics</w:t>
      </w:r>
      <w:proofErr w:type="gramEnd"/>
      <w:r>
        <w:rPr>
          <w:rFonts w:ascii="EYInterstate" w:eastAsiaTheme="minorEastAsia" w:hAnsi="EYInterstate" w:cs="Arial"/>
          <w:color w:val="000000" w:themeColor="text1"/>
          <w:kern w:val="24"/>
          <w:sz w:val="20"/>
          <w:szCs w:val="20"/>
        </w:rPr>
        <w:t xml:space="preserve"> and advocacy efforts.</w:t>
      </w:r>
    </w:p>
    <w:p w14:paraId="6AEE93FF"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 </w:t>
      </w:r>
    </w:p>
    <w:p w14:paraId="5DB09D3D"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Mr. Ransome has served as a lecturer at various tax planning seminars and conferences regarding transfer tax planning, fiduciary and individual income tax planning, retirement planning, and family wealth planning.  He also has authored numerous articles for various trade publications and has been quoted in numerous national publications on various topics within these areas of planning including the Wall Street Journal, Forbes, USA Today and the New York Times.</w:t>
      </w:r>
    </w:p>
    <w:p w14:paraId="5B8D13E3"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 </w:t>
      </w:r>
    </w:p>
    <w:p w14:paraId="4E40C66D"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Mr. Ransome is a member of the Louisiana State Bar and American Bar Associations (Tax and Real Property, Trust and Estate Law Sections); State Board of Certified Public Accounts of Louisiana; Louisiana Society of Certified Public Accountants; and the American Institute of Certified Public Accountants (Tax and Personal Financial Planning Sections). He is a licensed Certified Public Accountant in Louisiana and the District of Columbia.</w:t>
      </w:r>
    </w:p>
    <w:p w14:paraId="26093112"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 </w:t>
      </w:r>
    </w:p>
    <w:p w14:paraId="49AC417A" w14:textId="77777777" w:rsidR="001D5B01" w:rsidRDefault="001D5B01" w:rsidP="001D5B01">
      <w:pPr>
        <w:pStyle w:val="NormalWeb"/>
        <w:spacing w:before="0" w:beforeAutospacing="0" w:after="0" w:afterAutospacing="0"/>
        <w:jc w:val="both"/>
        <w:textAlignment w:val="baseline"/>
      </w:pPr>
      <w:r>
        <w:rPr>
          <w:rFonts w:ascii="EYInterstate" w:eastAsiaTheme="minorEastAsia" w:hAnsi="EYInterstate" w:cs="Arial"/>
          <w:color w:val="000000" w:themeColor="text1"/>
          <w:kern w:val="24"/>
          <w:sz w:val="20"/>
          <w:szCs w:val="20"/>
        </w:rPr>
        <w:t>Mr. Ransome received a Bachelor of Business Administration from the Else School of Management at Millsaps College (</w:t>
      </w:r>
      <w:r>
        <w:rPr>
          <w:rFonts w:ascii="EYInterstate" w:eastAsiaTheme="minorEastAsia" w:hAnsi="EYInterstate" w:cs="Arial"/>
          <w:i/>
          <w:iCs/>
          <w:color w:val="000000" w:themeColor="text1"/>
          <w:kern w:val="24"/>
          <w:sz w:val="20"/>
          <w:szCs w:val="20"/>
        </w:rPr>
        <w:t>magna cum laude</w:t>
      </w:r>
      <w:r>
        <w:rPr>
          <w:rFonts w:ascii="EYInterstate" w:eastAsiaTheme="minorEastAsia" w:hAnsi="EYInterstate" w:cs="Arial"/>
          <w:color w:val="000000" w:themeColor="text1"/>
          <w:kern w:val="24"/>
          <w:sz w:val="20"/>
          <w:szCs w:val="20"/>
        </w:rPr>
        <w:t xml:space="preserve">) in 1988, a Juris Doctor from the Louisiana State University Law Center in 1991 and a Master of Business Administration from the </w:t>
      </w:r>
      <w:proofErr w:type="spellStart"/>
      <w:r>
        <w:rPr>
          <w:rFonts w:ascii="EYInterstate" w:eastAsiaTheme="minorEastAsia" w:hAnsi="EYInterstate" w:cs="Arial"/>
          <w:color w:val="000000" w:themeColor="text1"/>
          <w:kern w:val="24"/>
          <w:sz w:val="20"/>
          <w:szCs w:val="20"/>
        </w:rPr>
        <w:t>Ourso</w:t>
      </w:r>
      <w:proofErr w:type="spellEnd"/>
      <w:r>
        <w:rPr>
          <w:rFonts w:ascii="EYInterstate" w:eastAsiaTheme="minorEastAsia" w:hAnsi="EYInterstate" w:cs="Arial"/>
          <w:color w:val="000000" w:themeColor="text1"/>
          <w:kern w:val="24"/>
          <w:sz w:val="20"/>
          <w:szCs w:val="20"/>
        </w:rPr>
        <w:t xml:space="preserve"> College of Business Administration at Louisiana State University in 1993.</w:t>
      </w:r>
    </w:p>
    <w:p w14:paraId="0A9E3360" w14:textId="77777777" w:rsidR="00E15255" w:rsidRDefault="00E15255"/>
    <w:sectPr w:rsidR="00E152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YInterstate">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B01"/>
    <w:rsid w:val="001D5B01"/>
    <w:rsid w:val="00E15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FE8F4B"/>
  <w15:chartTrackingRefBased/>
  <w15:docId w15:val="{2167FADC-0B40-4FE5-B1AB-DBD3B869D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5B0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1193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Words>
  <Characters>2352</Characters>
  <Application>Microsoft Office Word</Application>
  <DocSecurity>0</DocSecurity>
  <Lines>19</Lines>
  <Paragraphs>5</Paragraphs>
  <ScaleCrop>false</ScaleCrop>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Gatzke</dc:creator>
  <cp:keywords/>
  <dc:description/>
  <cp:lastModifiedBy>Matt Gatzke</cp:lastModifiedBy>
  <cp:revision>1</cp:revision>
  <dcterms:created xsi:type="dcterms:W3CDTF">2021-04-22T12:16:00Z</dcterms:created>
  <dcterms:modified xsi:type="dcterms:W3CDTF">2021-04-22T12:16:00Z</dcterms:modified>
</cp:coreProperties>
</file>